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2EF" w:rsidRPr="00F02FBA" w:rsidRDefault="00B112EF" w:rsidP="00C334CD">
      <w:pPr>
        <w:widowControl w:val="0"/>
        <w:adjustRightInd/>
        <w:snapToGrid/>
        <w:spacing w:afterLines="100" w:after="312" w:line="240" w:lineRule="auto"/>
        <w:ind w:firstLineChars="0" w:firstLine="0"/>
        <w:jc w:val="center"/>
        <w:rPr>
          <w:rFonts w:ascii="Arial" w:hAnsi="Arial" w:cs="Arial"/>
          <w:b/>
          <w:kern w:val="0"/>
          <w:sz w:val="20"/>
          <w:szCs w:val="20"/>
        </w:rPr>
      </w:pPr>
      <w:r w:rsidRPr="00F02FBA">
        <w:rPr>
          <w:rFonts w:ascii="Arial" w:hAnsi="Arial" w:cs="Arial"/>
          <w:b/>
          <w:kern w:val="0"/>
          <w:sz w:val="20"/>
          <w:szCs w:val="20"/>
        </w:rPr>
        <w:t>Tab</w:t>
      </w:r>
      <w:r>
        <w:rPr>
          <w:rFonts w:ascii="Arial" w:hAnsi="Arial" w:cs="Arial"/>
          <w:b/>
          <w:kern w:val="0"/>
          <w:sz w:val="20"/>
          <w:szCs w:val="20"/>
        </w:rPr>
        <w:t>le</w:t>
      </w:r>
      <w:r w:rsidRPr="00F02FBA">
        <w:rPr>
          <w:rFonts w:ascii="Arial" w:hAnsi="Arial" w:cs="Arial"/>
          <w:b/>
          <w:kern w:val="0"/>
          <w:sz w:val="20"/>
          <w:szCs w:val="20"/>
        </w:rPr>
        <w:t xml:space="preserve"> S</w:t>
      </w:r>
      <w:r w:rsidR="00AB2D98">
        <w:rPr>
          <w:rFonts w:ascii="Arial" w:hAnsi="Arial" w:cs="Arial"/>
          <w:b/>
          <w:kern w:val="0"/>
          <w:sz w:val="20"/>
          <w:szCs w:val="20"/>
        </w:rPr>
        <w:t>3</w:t>
      </w:r>
      <w:bookmarkStart w:id="0" w:name="_GoBack"/>
      <w:bookmarkEnd w:id="0"/>
      <w:r w:rsidRPr="00F02FBA">
        <w:rPr>
          <w:rFonts w:ascii="Arial" w:hAnsi="Arial" w:cs="Arial"/>
          <w:b/>
          <w:kern w:val="0"/>
          <w:sz w:val="20"/>
          <w:szCs w:val="20"/>
        </w:rPr>
        <w:t xml:space="preserve"> </w:t>
      </w:r>
      <w:r w:rsidRPr="00F02FBA">
        <w:rPr>
          <w:rFonts w:ascii="Arial" w:hAnsi="Arial" w:cs="Arial"/>
          <w:kern w:val="0"/>
          <w:sz w:val="20"/>
          <w:szCs w:val="20"/>
        </w:rPr>
        <w:t>List of predicted genes involved in fatty acid synthesis</w:t>
      </w:r>
    </w:p>
    <w:tbl>
      <w:tblPr>
        <w:tblStyle w:val="a3"/>
        <w:tblW w:w="8726" w:type="dxa"/>
        <w:tblLook w:val="04A0" w:firstRow="1" w:lastRow="0" w:firstColumn="1" w:lastColumn="0" w:noHBand="0" w:noVBand="1"/>
      </w:tblPr>
      <w:tblGrid>
        <w:gridCol w:w="1910"/>
        <w:gridCol w:w="837"/>
        <w:gridCol w:w="4852"/>
        <w:gridCol w:w="1127"/>
      </w:tblGrid>
      <w:tr w:rsidR="00B112EF" w:rsidRPr="00F02FBA" w:rsidTr="0021776C">
        <w:trPr>
          <w:trHeight w:val="445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b/>
                <w:noProof/>
                <w:color w:val="000000"/>
                <w:sz w:val="21"/>
              </w:rPr>
            </w:pPr>
            <w:r w:rsidRPr="00F02FBA">
              <w:rPr>
                <w:rFonts w:ascii="Arial" w:hAnsi="Arial" w:cs="Arial"/>
                <w:b/>
                <w:noProof/>
                <w:color w:val="000000"/>
                <w:sz w:val="21"/>
              </w:rPr>
              <w:t>Gene ID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b/>
                <w:noProof/>
                <w:color w:val="000000"/>
                <w:sz w:val="21"/>
              </w:rPr>
            </w:pPr>
            <w:r w:rsidRPr="00F02FBA">
              <w:rPr>
                <w:rFonts w:ascii="Arial" w:hAnsi="Arial" w:cs="Arial"/>
                <w:b/>
                <w:noProof/>
                <w:color w:val="000000"/>
                <w:sz w:val="21"/>
              </w:rPr>
              <w:t>KO</w:t>
            </w: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b/>
                <w:noProof/>
                <w:color w:val="000000"/>
                <w:sz w:val="21"/>
              </w:rPr>
            </w:pPr>
            <w:r w:rsidRPr="00F02FBA">
              <w:rPr>
                <w:rFonts w:ascii="Arial" w:hAnsi="Arial" w:cs="Arial"/>
                <w:b/>
                <w:noProof/>
                <w:color w:val="000000"/>
                <w:sz w:val="21"/>
              </w:rPr>
              <w:t>Discription</w:t>
            </w:r>
          </w:p>
        </w:tc>
        <w:tc>
          <w:tcPr>
            <w:tcW w:w="1127" w:type="dxa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b/>
                <w:noProof/>
                <w:color w:val="000000"/>
                <w:sz w:val="21"/>
              </w:rPr>
            </w:pPr>
            <w:r w:rsidRPr="00F02FBA">
              <w:rPr>
                <w:rFonts w:ascii="Arial" w:hAnsi="Arial" w:cs="Arial"/>
                <w:b/>
                <w:noProof/>
                <w:color w:val="000000"/>
                <w:sz w:val="21"/>
              </w:rPr>
              <w:t>iTRAQ</w:t>
            </w:r>
          </w:p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b/>
                <w:noProof/>
                <w:color w:val="000000"/>
                <w:sz w:val="21"/>
              </w:rPr>
            </w:pPr>
            <w:r w:rsidRPr="00F02FBA">
              <w:rPr>
                <w:rFonts w:ascii="Arial" w:hAnsi="Arial" w:cs="Arial"/>
                <w:b/>
                <w:noProof/>
                <w:color w:val="000000"/>
                <w:sz w:val="21"/>
              </w:rPr>
              <w:t>identify</w:t>
            </w:r>
          </w:p>
        </w:tc>
      </w:tr>
      <w:tr w:rsidR="00B112EF" w:rsidRPr="00F02FBA" w:rsidTr="0021776C">
        <w:trPr>
          <w:trHeight w:val="378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SPP02429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K00667</w:t>
            </w: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FAS, fatty acid synthase, [EC:2.3.1.86]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34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SPP03151</w:t>
            </w:r>
          </w:p>
        </w:tc>
        <w:tc>
          <w:tcPr>
            <w:tcW w:w="834" w:type="dxa"/>
            <w:vMerge w:val="restart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K01961</w:t>
            </w:r>
          </w:p>
        </w:tc>
        <w:tc>
          <w:tcPr>
            <w:tcW w:w="4855" w:type="dxa"/>
            <w:vMerge w:val="restart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ACACA, acetyl-CoA carboxylase,</w:t>
            </w:r>
            <w:r w:rsidRPr="00F02FBA">
              <w:rPr>
                <w:rFonts w:ascii="Arial" w:hAnsi="Arial" w:cs="Arial"/>
              </w:rPr>
              <w:t xml:space="preserve"> </w:t>
            </w: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[EC:6.4.1.2; EC: 6.3.4.14]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34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SPP11327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34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SPP09548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K00645</w:t>
            </w: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MCAT</w:t>
            </w: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, malonyl CoA-acyl carrier protein transacylase,</w:t>
            </w:r>
            <w:r w:rsidRPr="00F02FBA">
              <w:rPr>
                <w:rFonts w:ascii="Arial" w:hAnsi="Arial" w:cs="Arial"/>
              </w:rPr>
              <w:t xml:space="preserve"> </w:t>
            </w: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[EC:2.3.1.39]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</w:tr>
      <w:tr w:rsidR="00B112EF" w:rsidRPr="00F02FBA" w:rsidTr="0021776C">
        <w:trPr>
          <w:trHeight w:val="334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BGI_novel_G001546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K09458</w:t>
            </w: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FabF, 3-oxoacyl-[acyl-carrier-protein] synthase [EC:2.3.1.179]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34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BGI_novel_G000067</w:t>
            </w:r>
          </w:p>
        </w:tc>
        <w:tc>
          <w:tcPr>
            <w:tcW w:w="834" w:type="dxa"/>
            <w:vMerge w:val="restart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K00059</w:t>
            </w:r>
          </w:p>
        </w:tc>
        <w:tc>
          <w:tcPr>
            <w:tcW w:w="4855" w:type="dxa"/>
            <w:vMerge w:val="restart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FabG, 3-oxoacyl-[acyl carrier protein] reductase [EC:1.1.1.100]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34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BGI_novel_G000383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34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BGI_novel_G001432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SPP01663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SPP03170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SPP06392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SPP01711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SPP01854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SPP04421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SPP05755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SPP07858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SPP08326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SPP10151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SPP03221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K00208</w:t>
            </w: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FabI, enoyl-[acyl-carrier-protein] reductase</w:t>
            </w:r>
            <w:r w:rsidRPr="00F02FBA">
              <w:rPr>
                <w:rFonts w:ascii="Arial" w:hAnsi="Arial" w:cs="Arial"/>
              </w:rPr>
              <w:t xml:space="preserve"> </w:t>
            </w: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[EC:1.3.1.9; EC:1.3.1.10]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BGI_novel_G000637</w:t>
            </w:r>
          </w:p>
        </w:tc>
        <w:tc>
          <w:tcPr>
            <w:tcW w:w="834" w:type="dxa"/>
            <w:vMerge w:val="restart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K10246</w:t>
            </w:r>
          </w:p>
        </w:tc>
        <w:tc>
          <w:tcPr>
            <w:tcW w:w="4855" w:type="dxa"/>
            <w:vMerge w:val="restart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ELO, long chain fatty acid elongase,</w:t>
            </w:r>
            <w:r w:rsidRPr="00F02FBA">
              <w:rPr>
                <w:rFonts w:ascii="Arial" w:hAnsi="Arial" w:cs="Arial"/>
              </w:rPr>
              <w:t xml:space="preserve"> </w:t>
            </w: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[EC:2.3.1.199]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SPP05531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SPP09916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SPP10313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32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SPP10648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BGI_novel_G001460</w:t>
            </w:r>
          </w:p>
        </w:tc>
        <w:tc>
          <w:tcPr>
            <w:tcW w:w="834" w:type="dxa"/>
            <w:vMerge w:val="restart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K10251</w:t>
            </w:r>
          </w:p>
        </w:tc>
        <w:tc>
          <w:tcPr>
            <w:tcW w:w="4855" w:type="dxa"/>
            <w:vMerge w:val="restart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VLCR, very-long-chain 3-oxoacyl-CoA reductase       [EC:1.1.1.62; ;EC:1.1.1.330]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SPP09611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SPP09962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</w:tr>
      <w:tr w:rsidR="00B112EF" w:rsidRPr="00F02FBA" w:rsidTr="0021776C">
        <w:trPr>
          <w:trHeight w:val="198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SPP10092</w:t>
            </w:r>
          </w:p>
        </w:tc>
        <w:tc>
          <w:tcPr>
            <w:tcW w:w="834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Merge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SPP06848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K10703</w:t>
            </w: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HACD , very-long-chain (3R)-3-hydroxyacyl-CoA  dehydratase, [EC:4.2.1.134]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SPP02062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K07753</w:t>
            </w: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TECR, trans-2-enoyl-CoA reductase [EC:1.3.1.38]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</w:p>
        </w:tc>
      </w:tr>
      <w:tr w:rsidR="00B112EF" w:rsidRPr="00F02FBA" w:rsidTr="0021776C">
        <w:trPr>
          <w:trHeight w:val="389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SPP03466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PfaA, polyketide synthase subunit A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246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SPP03420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PfaB, polyketide synthase subunit B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  <w:tr w:rsidR="00B112EF" w:rsidRPr="00F02FBA" w:rsidTr="0021776C">
        <w:trPr>
          <w:trHeight w:val="68"/>
        </w:trPr>
        <w:tc>
          <w:tcPr>
            <w:tcW w:w="1910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02FBA">
              <w:rPr>
                <w:rFonts w:ascii="Arial" w:hAnsi="Arial" w:cs="Arial"/>
                <w:sz w:val="18"/>
                <w:szCs w:val="18"/>
              </w:rPr>
              <w:t>BGI_novel_G000206</w:t>
            </w:r>
          </w:p>
        </w:tc>
        <w:tc>
          <w:tcPr>
            <w:tcW w:w="834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55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left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PfaC, polyketide synthase subunit C</w:t>
            </w:r>
          </w:p>
        </w:tc>
        <w:tc>
          <w:tcPr>
            <w:tcW w:w="1127" w:type="dxa"/>
            <w:vAlign w:val="center"/>
          </w:tcPr>
          <w:p w:rsidR="00B112EF" w:rsidRPr="00F02FBA" w:rsidRDefault="00B112EF" w:rsidP="00906EFB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noProof/>
                <w:color w:val="000000"/>
                <w:sz w:val="18"/>
                <w:szCs w:val="18"/>
              </w:rPr>
            </w:pPr>
            <w:r w:rsidRPr="00F02FBA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Y</w:t>
            </w:r>
          </w:p>
        </w:tc>
      </w:tr>
    </w:tbl>
    <w:p w:rsidR="003E5ECB" w:rsidRDefault="00B85A97" w:rsidP="0021776C">
      <w:pPr>
        <w:ind w:firstLine="480"/>
      </w:pPr>
    </w:p>
    <w:sectPr w:rsidR="003E5E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A97" w:rsidRDefault="00B85A97" w:rsidP="00CB7EFC">
      <w:pPr>
        <w:spacing w:line="240" w:lineRule="auto"/>
        <w:ind w:firstLine="480"/>
      </w:pPr>
      <w:r>
        <w:separator/>
      </w:r>
    </w:p>
  </w:endnote>
  <w:endnote w:type="continuationSeparator" w:id="0">
    <w:p w:rsidR="00B85A97" w:rsidRDefault="00B85A97" w:rsidP="00CB7EF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B85A97" w:rsidP="001868F9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85341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:rsidR="00425521" w:rsidRPr="0021776C" w:rsidRDefault="00B112EF" w:rsidP="0021776C">
        <w:pPr>
          <w:pStyle w:val="a5"/>
          <w:ind w:firstLine="360"/>
          <w:jc w:val="center"/>
          <w:rPr>
            <w:rFonts w:ascii="Arial" w:hAnsi="Arial" w:cs="Arial"/>
          </w:rPr>
        </w:pPr>
        <w:r w:rsidRPr="0099322D">
          <w:rPr>
            <w:rFonts w:ascii="Arial" w:hAnsi="Arial" w:cs="Arial"/>
          </w:rPr>
          <w:fldChar w:fldCharType="begin"/>
        </w:r>
        <w:r w:rsidRPr="0099322D">
          <w:rPr>
            <w:rFonts w:ascii="Arial" w:hAnsi="Arial" w:cs="Arial"/>
          </w:rPr>
          <w:instrText>PAGE   \* MERGEFORMAT</w:instrText>
        </w:r>
        <w:r w:rsidRPr="0099322D">
          <w:rPr>
            <w:rFonts w:ascii="Arial" w:hAnsi="Arial" w:cs="Arial"/>
          </w:rPr>
          <w:fldChar w:fldCharType="separate"/>
        </w:r>
        <w:r w:rsidR="00AB2D98" w:rsidRPr="00AB2D98">
          <w:rPr>
            <w:rFonts w:ascii="Arial" w:hAnsi="Arial" w:cs="Arial"/>
            <w:noProof/>
            <w:lang w:val="zh-CN"/>
          </w:rPr>
          <w:t>1</w:t>
        </w:r>
        <w:r w:rsidRPr="0099322D">
          <w:rPr>
            <w:rFonts w:ascii="Arial" w:hAnsi="Arial" w:cs="Aria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B85A97" w:rsidP="001868F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A97" w:rsidRDefault="00B85A97" w:rsidP="00CB7EFC">
      <w:pPr>
        <w:spacing w:line="240" w:lineRule="auto"/>
        <w:ind w:firstLine="480"/>
      </w:pPr>
      <w:r>
        <w:separator/>
      </w:r>
    </w:p>
  </w:footnote>
  <w:footnote w:type="continuationSeparator" w:id="0">
    <w:p w:rsidR="00B85A97" w:rsidRDefault="00B85A97" w:rsidP="00CB7EF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B85A97" w:rsidP="001868F9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B85A97" w:rsidP="001868F9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B85A97" w:rsidP="001868F9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2EF"/>
    <w:rsid w:val="00072918"/>
    <w:rsid w:val="000F3EFC"/>
    <w:rsid w:val="001D03F2"/>
    <w:rsid w:val="0021776C"/>
    <w:rsid w:val="002215C2"/>
    <w:rsid w:val="00841D5E"/>
    <w:rsid w:val="0088214C"/>
    <w:rsid w:val="009A003D"/>
    <w:rsid w:val="009D75D1"/>
    <w:rsid w:val="00AB2D98"/>
    <w:rsid w:val="00B112EF"/>
    <w:rsid w:val="00B2617C"/>
    <w:rsid w:val="00B85A97"/>
    <w:rsid w:val="00C334CD"/>
    <w:rsid w:val="00CB7EFC"/>
    <w:rsid w:val="00CC1B9B"/>
    <w:rsid w:val="00FC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EF"/>
    <w:pPr>
      <w:adjustRightInd w:val="0"/>
      <w:snapToGrid w:val="0"/>
      <w:spacing w:line="36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Char"/>
    <w:autoRedefine/>
    <w:uiPriority w:val="9"/>
    <w:qFormat/>
    <w:rsid w:val="00FC6797"/>
    <w:pPr>
      <w:adjustRightInd/>
      <w:snapToGrid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Times New Roman" w:hAnsi="宋体" w:cs="宋体"/>
      <w:b/>
      <w:bCs/>
      <w:kern w:val="36"/>
      <w:sz w:val="28"/>
      <w:szCs w:val="48"/>
    </w:rPr>
  </w:style>
  <w:style w:type="paragraph" w:styleId="2">
    <w:name w:val="heading 2"/>
    <w:basedOn w:val="a"/>
    <w:next w:val="a"/>
    <w:link w:val="2Char"/>
    <w:uiPriority w:val="9"/>
    <w:unhideWhenUsed/>
    <w:rsid w:val="009D75D1"/>
    <w:pPr>
      <w:keepNext/>
      <w:keepLines/>
      <w:widowControl w:val="0"/>
      <w:adjustRightInd/>
      <w:snapToGrid/>
      <w:spacing w:before="260" w:after="260" w:line="416" w:lineRule="auto"/>
      <w:ind w:firstLineChars="0" w:firstLine="0"/>
      <w:outlineLvl w:val="1"/>
    </w:pPr>
    <w:rPr>
      <w:rFonts w:ascii="微软雅黑" w:eastAsia="微软雅黑" w:hAnsi="微软雅黑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C6797"/>
    <w:rPr>
      <w:rFonts w:ascii="宋体" w:eastAsia="Times New Roman" w:hAnsi="宋体" w:cs="宋体"/>
      <w:b/>
      <w:bCs/>
      <w:kern w:val="36"/>
      <w:sz w:val="28"/>
      <w:szCs w:val="48"/>
    </w:rPr>
  </w:style>
  <w:style w:type="character" w:customStyle="1" w:styleId="2Char">
    <w:name w:val="标题 2 Char"/>
    <w:basedOn w:val="a0"/>
    <w:link w:val="2"/>
    <w:uiPriority w:val="9"/>
    <w:rsid w:val="009D75D1"/>
    <w:rPr>
      <w:rFonts w:ascii="微软雅黑" w:eastAsia="微软雅黑" w:hAnsi="微软雅黑" w:cstheme="majorBidi"/>
      <w:b/>
      <w:bCs/>
      <w:sz w:val="24"/>
      <w:szCs w:val="32"/>
    </w:rPr>
  </w:style>
  <w:style w:type="table" w:styleId="a3">
    <w:name w:val="Table Grid"/>
    <w:basedOn w:val="a1"/>
    <w:uiPriority w:val="59"/>
    <w:rsid w:val="00B11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12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12EF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12E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12EF"/>
    <w:rPr>
      <w:rFonts w:ascii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112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EF"/>
    <w:pPr>
      <w:adjustRightInd w:val="0"/>
      <w:snapToGrid w:val="0"/>
      <w:spacing w:line="36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Char"/>
    <w:autoRedefine/>
    <w:uiPriority w:val="9"/>
    <w:qFormat/>
    <w:rsid w:val="00FC6797"/>
    <w:pPr>
      <w:adjustRightInd/>
      <w:snapToGrid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Times New Roman" w:hAnsi="宋体" w:cs="宋体"/>
      <w:b/>
      <w:bCs/>
      <w:kern w:val="36"/>
      <w:sz w:val="28"/>
      <w:szCs w:val="48"/>
    </w:rPr>
  </w:style>
  <w:style w:type="paragraph" w:styleId="2">
    <w:name w:val="heading 2"/>
    <w:basedOn w:val="a"/>
    <w:next w:val="a"/>
    <w:link w:val="2Char"/>
    <w:uiPriority w:val="9"/>
    <w:unhideWhenUsed/>
    <w:rsid w:val="009D75D1"/>
    <w:pPr>
      <w:keepNext/>
      <w:keepLines/>
      <w:widowControl w:val="0"/>
      <w:adjustRightInd/>
      <w:snapToGrid/>
      <w:spacing w:before="260" w:after="260" w:line="416" w:lineRule="auto"/>
      <w:ind w:firstLineChars="0" w:firstLine="0"/>
      <w:outlineLvl w:val="1"/>
    </w:pPr>
    <w:rPr>
      <w:rFonts w:ascii="微软雅黑" w:eastAsia="微软雅黑" w:hAnsi="微软雅黑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C6797"/>
    <w:rPr>
      <w:rFonts w:ascii="宋体" w:eastAsia="Times New Roman" w:hAnsi="宋体" w:cs="宋体"/>
      <w:b/>
      <w:bCs/>
      <w:kern w:val="36"/>
      <w:sz w:val="28"/>
      <w:szCs w:val="48"/>
    </w:rPr>
  </w:style>
  <w:style w:type="character" w:customStyle="1" w:styleId="2Char">
    <w:name w:val="标题 2 Char"/>
    <w:basedOn w:val="a0"/>
    <w:link w:val="2"/>
    <w:uiPriority w:val="9"/>
    <w:rsid w:val="009D75D1"/>
    <w:rPr>
      <w:rFonts w:ascii="微软雅黑" w:eastAsia="微软雅黑" w:hAnsi="微软雅黑" w:cstheme="majorBidi"/>
      <w:b/>
      <w:bCs/>
      <w:sz w:val="24"/>
      <w:szCs w:val="32"/>
    </w:rPr>
  </w:style>
  <w:style w:type="table" w:styleId="a3">
    <w:name w:val="Table Grid"/>
    <w:basedOn w:val="a1"/>
    <w:uiPriority w:val="59"/>
    <w:rsid w:val="00B11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12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12EF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12E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12EF"/>
    <w:rPr>
      <w:rFonts w:ascii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11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Hu</dc:creator>
  <cp:lastModifiedBy>Fan Hu</cp:lastModifiedBy>
  <cp:revision>6</cp:revision>
  <dcterms:created xsi:type="dcterms:W3CDTF">2019-12-23T09:33:00Z</dcterms:created>
  <dcterms:modified xsi:type="dcterms:W3CDTF">2020-01-28T13:48:00Z</dcterms:modified>
</cp:coreProperties>
</file>